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142" w:rsidRDefault="00CF6142" w:rsidP="00CF6142">
      <w:pPr>
        <w:rPr>
          <w:rFonts w:asciiTheme="majorHAnsi" w:eastAsiaTheme="majorHAnsi" w:hAnsiTheme="majorHAnsi"/>
          <w:b/>
          <w:u w:val="single"/>
        </w:rPr>
      </w:pPr>
    </w:p>
    <w:p w:rsidR="00B3746B" w:rsidRPr="000553A1" w:rsidRDefault="00A81E25" w:rsidP="000553A1">
      <w:pPr>
        <w:jc w:val="center"/>
        <w:rPr>
          <w:rFonts w:asciiTheme="majorHAnsi" w:eastAsiaTheme="majorHAnsi" w:hAnsiTheme="majorHAnsi"/>
          <w:b/>
          <w:u w:val="single"/>
        </w:rPr>
      </w:pPr>
      <w:r>
        <w:rPr>
          <w:rFonts w:asciiTheme="majorHAnsi" w:eastAsiaTheme="majorHAnsi" w:hAnsiTheme="majorHAnsi" w:hint="eastAsia"/>
          <w:b/>
          <w:u w:val="single"/>
        </w:rPr>
        <w:t>内子町歴史観光交流拠点施設指定管理予定者の</w:t>
      </w:r>
      <w:r w:rsidR="000A7555" w:rsidRPr="000553A1">
        <w:rPr>
          <w:rFonts w:asciiTheme="majorHAnsi" w:eastAsiaTheme="majorHAnsi" w:hAnsiTheme="majorHAnsi" w:hint="eastAsia"/>
          <w:b/>
          <w:u w:val="single"/>
        </w:rPr>
        <w:t>公募型プロポーザルについての質問及び回答</w:t>
      </w:r>
    </w:p>
    <w:p w:rsidR="000A7555" w:rsidRDefault="00E7013A" w:rsidP="00EE6B40">
      <w:pPr>
        <w:jc w:val="right"/>
      </w:pPr>
      <w:r>
        <w:rPr>
          <w:rFonts w:hint="eastAsia"/>
        </w:rPr>
        <w:t>（回答日）令和７</w:t>
      </w:r>
      <w:r w:rsidR="000A7555">
        <w:rPr>
          <w:rFonts w:hint="eastAsia"/>
        </w:rPr>
        <w:t>年</w:t>
      </w:r>
      <w:r w:rsidR="00A81E25">
        <w:rPr>
          <w:rFonts w:hint="eastAsia"/>
        </w:rPr>
        <w:t>８</w:t>
      </w:r>
      <w:r>
        <w:rPr>
          <w:rFonts w:hint="eastAsia"/>
        </w:rPr>
        <w:t>月</w:t>
      </w:r>
      <w:r w:rsidR="00A81E25">
        <w:rPr>
          <w:rFonts w:hint="eastAsia"/>
        </w:rPr>
        <w:t>15</w:t>
      </w:r>
      <w:r w:rsidR="000A7555">
        <w:rPr>
          <w:rFonts w:hint="eastAsia"/>
        </w:rPr>
        <w:t>日</w:t>
      </w:r>
    </w:p>
    <w:tbl>
      <w:tblPr>
        <w:tblStyle w:val="a3"/>
        <w:tblW w:w="15163" w:type="dxa"/>
        <w:tblLook w:val="04A0" w:firstRow="1" w:lastRow="0" w:firstColumn="1" w:lastColumn="0" w:noHBand="0" w:noVBand="1"/>
      </w:tblPr>
      <w:tblGrid>
        <w:gridCol w:w="704"/>
        <w:gridCol w:w="2977"/>
        <w:gridCol w:w="5741"/>
        <w:gridCol w:w="5741"/>
      </w:tblGrid>
      <w:tr w:rsidR="000A7555" w:rsidTr="002E6926">
        <w:tc>
          <w:tcPr>
            <w:tcW w:w="704" w:type="dxa"/>
            <w:tcBorders>
              <w:bottom w:val="single" w:sz="4" w:space="0" w:color="auto"/>
            </w:tcBorders>
            <w:shd w:val="clear" w:color="auto" w:fill="D9D9D9" w:themeFill="background1" w:themeFillShade="D9"/>
          </w:tcPr>
          <w:p w:rsidR="000A7555" w:rsidRPr="00055B62" w:rsidRDefault="000A7555" w:rsidP="000A7555">
            <w:pPr>
              <w:jc w:val="center"/>
              <w:rPr>
                <w:rFonts w:ascii="BIZ UDゴシック" w:eastAsia="BIZ UDゴシック" w:hAnsi="BIZ UDゴシック"/>
              </w:rPr>
            </w:pPr>
            <w:r w:rsidRPr="00055B62">
              <w:rPr>
                <w:rFonts w:ascii="BIZ UDゴシック" w:eastAsia="BIZ UDゴシック" w:hAnsi="BIZ UDゴシック" w:hint="eastAsia"/>
              </w:rPr>
              <w:t>番号</w:t>
            </w:r>
          </w:p>
        </w:tc>
        <w:tc>
          <w:tcPr>
            <w:tcW w:w="2977" w:type="dxa"/>
            <w:tcBorders>
              <w:bottom w:val="single" w:sz="4" w:space="0" w:color="auto"/>
            </w:tcBorders>
            <w:shd w:val="clear" w:color="auto" w:fill="D9D9D9" w:themeFill="background1" w:themeFillShade="D9"/>
          </w:tcPr>
          <w:p w:rsidR="000A7555" w:rsidRPr="00055B62" w:rsidRDefault="000A7555" w:rsidP="000A7555">
            <w:pPr>
              <w:jc w:val="center"/>
              <w:rPr>
                <w:rFonts w:ascii="BIZ UDゴシック" w:eastAsia="BIZ UDゴシック" w:hAnsi="BIZ UDゴシック"/>
              </w:rPr>
            </w:pPr>
            <w:r w:rsidRPr="00055B62">
              <w:rPr>
                <w:rFonts w:ascii="BIZ UDゴシック" w:eastAsia="BIZ UDゴシック" w:hAnsi="BIZ UDゴシック" w:hint="eastAsia"/>
              </w:rPr>
              <w:t>質問項目</w:t>
            </w:r>
          </w:p>
        </w:tc>
        <w:tc>
          <w:tcPr>
            <w:tcW w:w="5741" w:type="dxa"/>
            <w:tcBorders>
              <w:bottom w:val="single" w:sz="4" w:space="0" w:color="auto"/>
            </w:tcBorders>
            <w:shd w:val="clear" w:color="auto" w:fill="D9D9D9" w:themeFill="background1" w:themeFillShade="D9"/>
          </w:tcPr>
          <w:p w:rsidR="000A7555" w:rsidRPr="00055B62" w:rsidRDefault="000A7555" w:rsidP="000A7555">
            <w:pPr>
              <w:jc w:val="center"/>
              <w:rPr>
                <w:rFonts w:ascii="BIZ UDゴシック" w:eastAsia="BIZ UDゴシック" w:hAnsi="BIZ UDゴシック"/>
              </w:rPr>
            </w:pPr>
            <w:r w:rsidRPr="00055B62">
              <w:rPr>
                <w:rFonts w:ascii="BIZ UDゴシック" w:eastAsia="BIZ UDゴシック" w:hAnsi="BIZ UDゴシック" w:hint="eastAsia"/>
              </w:rPr>
              <w:t>質問内容</w:t>
            </w:r>
          </w:p>
        </w:tc>
        <w:tc>
          <w:tcPr>
            <w:tcW w:w="5741" w:type="dxa"/>
            <w:tcBorders>
              <w:bottom w:val="single" w:sz="4" w:space="0" w:color="auto"/>
            </w:tcBorders>
            <w:shd w:val="clear" w:color="auto" w:fill="D9D9D9" w:themeFill="background1" w:themeFillShade="D9"/>
          </w:tcPr>
          <w:p w:rsidR="000A7555" w:rsidRPr="00055B62" w:rsidRDefault="000A7555" w:rsidP="000A7555">
            <w:pPr>
              <w:jc w:val="center"/>
              <w:rPr>
                <w:rFonts w:ascii="BIZ UDゴシック" w:eastAsia="BIZ UDゴシック" w:hAnsi="BIZ UDゴシック"/>
              </w:rPr>
            </w:pPr>
            <w:r w:rsidRPr="00150200">
              <w:rPr>
                <w:rFonts w:ascii="BIZ UDゴシック" w:eastAsia="BIZ UDゴシック" w:hAnsi="BIZ UDゴシック" w:hint="eastAsia"/>
                <w:color w:val="1F3864" w:themeColor="accent5" w:themeShade="80"/>
              </w:rPr>
              <w:t>回答</w:t>
            </w:r>
          </w:p>
        </w:tc>
      </w:tr>
      <w:tr w:rsidR="000A7555" w:rsidTr="002E6926">
        <w:trPr>
          <w:trHeight w:val="1809"/>
        </w:trPr>
        <w:tc>
          <w:tcPr>
            <w:tcW w:w="704" w:type="dxa"/>
            <w:tcBorders>
              <w:bottom w:val="single" w:sz="4" w:space="0" w:color="auto"/>
            </w:tcBorders>
          </w:tcPr>
          <w:p w:rsidR="000A7555" w:rsidRDefault="000A7555" w:rsidP="000A7555">
            <w:pPr>
              <w:spacing w:beforeLines="50" w:before="180" w:afterLines="50" w:after="180" w:line="160" w:lineRule="atLeast"/>
              <w:jc w:val="center"/>
            </w:pPr>
            <w:r>
              <w:rPr>
                <w:rFonts w:hint="eastAsia"/>
              </w:rPr>
              <w:t>１</w:t>
            </w:r>
          </w:p>
        </w:tc>
        <w:tc>
          <w:tcPr>
            <w:tcW w:w="2977" w:type="dxa"/>
            <w:tcBorders>
              <w:bottom w:val="single" w:sz="4" w:space="0" w:color="auto"/>
            </w:tcBorders>
          </w:tcPr>
          <w:p w:rsidR="00E7013A" w:rsidRPr="00E7013A" w:rsidRDefault="00A81E25" w:rsidP="000A7555">
            <w:pPr>
              <w:snapToGrid w:val="0"/>
              <w:spacing w:beforeLines="50" w:before="180" w:afterLines="50" w:after="180" w:line="160" w:lineRule="atLeast"/>
              <w:contextualSpacing/>
              <w:rPr>
                <w:rFonts w:asciiTheme="majorHAnsi" w:eastAsiaTheme="majorHAnsi" w:hAnsiTheme="majorHAnsi"/>
                <w:b/>
              </w:rPr>
            </w:pPr>
            <w:r>
              <w:rPr>
                <w:rFonts w:asciiTheme="majorHAnsi" w:eastAsiaTheme="majorHAnsi" w:hAnsiTheme="majorHAnsi" w:hint="eastAsia"/>
                <w:b/>
              </w:rPr>
              <w:t>費用負担について</w:t>
            </w:r>
          </w:p>
        </w:tc>
        <w:tc>
          <w:tcPr>
            <w:tcW w:w="5741" w:type="dxa"/>
            <w:tcBorders>
              <w:bottom w:val="single" w:sz="4" w:space="0" w:color="auto"/>
            </w:tcBorders>
          </w:tcPr>
          <w:p w:rsidR="000A7555" w:rsidRDefault="00A81E25" w:rsidP="000A7555">
            <w:pPr>
              <w:snapToGrid w:val="0"/>
              <w:spacing w:beforeLines="50" w:before="180" w:afterLines="50" w:after="180" w:line="160" w:lineRule="atLeast"/>
              <w:contextualSpacing/>
            </w:pPr>
            <w:r>
              <w:rPr>
                <w:rFonts w:hint="eastAsia"/>
              </w:rPr>
              <w:t>施設の光熱水費は、指定管理者の負担か。</w:t>
            </w:r>
          </w:p>
        </w:tc>
        <w:tc>
          <w:tcPr>
            <w:tcW w:w="5741" w:type="dxa"/>
            <w:tcBorders>
              <w:bottom w:val="single" w:sz="4" w:space="0" w:color="auto"/>
            </w:tcBorders>
          </w:tcPr>
          <w:p w:rsidR="000A7555" w:rsidRPr="001B3032" w:rsidRDefault="00710756" w:rsidP="00851A84">
            <w:pPr>
              <w:snapToGrid w:val="0"/>
              <w:spacing w:beforeLines="50" w:before="180" w:afterLines="50" w:after="180" w:line="340" w:lineRule="exact"/>
              <w:contextualSpacing/>
              <w:rPr>
                <w:rFonts w:ascii="HG丸ｺﾞｼｯｸM-PRO" w:eastAsia="HG丸ｺﾞｼｯｸM-PRO" w:hAnsi="HG丸ｺﾞｼｯｸM-PRO"/>
                <w:color w:val="2E74B5" w:themeColor="accent1" w:themeShade="BF"/>
              </w:rPr>
            </w:pPr>
            <w:r w:rsidRPr="001B3032">
              <w:rPr>
                <w:rFonts w:ascii="HG丸ｺﾞｼｯｸM-PRO" w:eastAsia="HG丸ｺﾞｼｯｸM-PRO" w:hAnsi="HG丸ｺﾞｼｯｸM-PRO" w:hint="eastAsia"/>
                <w:color w:val="2E74B5" w:themeColor="accent1" w:themeShade="BF"/>
              </w:rPr>
              <w:t>光熱水費は指定管理者の負担となります。ただし公共部分の光熱水費は</w:t>
            </w:r>
            <w:r w:rsidR="001B3032">
              <w:rPr>
                <w:rFonts w:ascii="HG丸ｺﾞｼｯｸM-PRO" w:eastAsia="HG丸ｺﾞｼｯｸM-PRO" w:hAnsi="HG丸ｺﾞｼｯｸM-PRO" w:hint="eastAsia"/>
                <w:color w:val="2E74B5" w:themeColor="accent1" w:themeShade="BF"/>
              </w:rPr>
              <w:t>指定管理料</w:t>
            </w:r>
            <w:r w:rsidRPr="001B3032">
              <w:rPr>
                <w:rFonts w:ascii="HG丸ｺﾞｼｯｸM-PRO" w:eastAsia="HG丸ｺﾞｼｯｸM-PRO" w:hAnsi="HG丸ｺﾞｼｯｸM-PRO" w:hint="eastAsia"/>
                <w:color w:val="2E74B5" w:themeColor="accent1" w:themeShade="BF"/>
              </w:rPr>
              <w:t>に含めることとし、額については</w:t>
            </w:r>
            <w:r w:rsidR="001B3032" w:rsidRPr="001B3032">
              <w:rPr>
                <w:rFonts w:ascii="HG丸ｺﾞｼｯｸM-PRO" w:eastAsia="HG丸ｺﾞｼｯｸM-PRO" w:hAnsi="HG丸ｺﾞｼｯｸM-PRO" w:hint="eastAsia"/>
                <w:color w:val="2E74B5" w:themeColor="accent1" w:themeShade="BF"/>
              </w:rPr>
              <w:t>運営実証期間の結果等を参考に</w:t>
            </w:r>
            <w:r w:rsidR="001B3032">
              <w:rPr>
                <w:rFonts w:ascii="HG丸ｺﾞｼｯｸM-PRO" w:eastAsia="HG丸ｺﾞｼｯｸM-PRO" w:hAnsi="HG丸ｺﾞｼｯｸM-PRO" w:hint="eastAsia"/>
                <w:color w:val="2E74B5" w:themeColor="accent1" w:themeShade="BF"/>
              </w:rPr>
              <w:t>両者で</w:t>
            </w:r>
            <w:r w:rsidR="001B3032" w:rsidRPr="001B3032">
              <w:rPr>
                <w:rFonts w:ascii="HG丸ｺﾞｼｯｸM-PRO" w:eastAsia="HG丸ｺﾞｼｯｸM-PRO" w:hAnsi="HG丸ｺﾞｼｯｸM-PRO" w:hint="eastAsia"/>
                <w:color w:val="2E74B5" w:themeColor="accent1" w:themeShade="BF"/>
              </w:rPr>
              <w:t>協議のうえ</w:t>
            </w:r>
            <w:r w:rsidR="001B3032">
              <w:rPr>
                <w:rFonts w:ascii="HG丸ｺﾞｼｯｸM-PRO" w:eastAsia="HG丸ｺﾞｼｯｸM-PRO" w:hAnsi="HG丸ｺﾞｼｯｸM-PRO" w:hint="eastAsia"/>
                <w:color w:val="2E74B5" w:themeColor="accent1" w:themeShade="BF"/>
              </w:rPr>
              <w:t>、</w:t>
            </w:r>
            <w:r w:rsidR="001B3032" w:rsidRPr="001B3032">
              <w:rPr>
                <w:rFonts w:ascii="HG丸ｺﾞｼｯｸM-PRO" w:eastAsia="HG丸ｺﾞｼｯｸM-PRO" w:hAnsi="HG丸ｺﾞｼｯｸM-PRO" w:hint="eastAsia"/>
                <w:color w:val="2E74B5" w:themeColor="accent1" w:themeShade="BF"/>
              </w:rPr>
              <w:t>決定する予定です。</w:t>
            </w:r>
            <w:r w:rsidR="001B3032">
              <w:rPr>
                <w:rFonts w:ascii="HG丸ｺﾞｼｯｸM-PRO" w:eastAsia="HG丸ｺﾞｼｯｸM-PRO" w:hAnsi="HG丸ｺﾞｼｯｸM-PRO" w:hint="eastAsia"/>
                <w:color w:val="2E74B5" w:themeColor="accent1" w:themeShade="BF"/>
              </w:rPr>
              <w:t>また</w:t>
            </w:r>
            <w:r w:rsidR="001B3032" w:rsidRPr="001B3032">
              <w:rPr>
                <w:rFonts w:ascii="HG丸ｺﾞｼｯｸM-PRO" w:eastAsia="HG丸ｺﾞｼｯｸM-PRO" w:hAnsi="HG丸ｺﾞｼｯｸM-PRO" w:hint="eastAsia"/>
                <w:color w:val="2E74B5" w:themeColor="accent1" w:themeShade="BF"/>
              </w:rPr>
              <w:t>テナントやチャレンジショップ（専用部）は受益者負担とし、</w:t>
            </w:r>
            <w:r w:rsidR="001B3032">
              <w:rPr>
                <w:rFonts w:ascii="HG丸ｺﾞｼｯｸM-PRO" w:eastAsia="HG丸ｺﾞｼｯｸM-PRO" w:hAnsi="HG丸ｺﾞｼｯｸM-PRO" w:hint="eastAsia"/>
                <w:color w:val="2E74B5" w:themeColor="accent1" w:themeShade="BF"/>
              </w:rPr>
              <w:t>指定管理者が集金してから、電力会社等に一括で支払うこととなります。</w:t>
            </w:r>
          </w:p>
          <w:p w:rsidR="001B3032" w:rsidRPr="000F63DA" w:rsidRDefault="001B3032" w:rsidP="00851A84">
            <w:pPr>
              <w:snapToGrid w:val="0"/>
              <w:spacing w:beforeLines="50" w:before="180" w:afterLines="50" w:after="180" w:line="340" w:lineRule="exact"/>
              <w:contextualSpacing/>
              <w:rPr>
                <w:rFonts w:ascii="HG丸ｺﾞｼｯｸM-PRO" w:eastAsia="HG丸ｺﾞｼｯｸM-PRO" w:hAnsi="HG丸ｺﾞｼｯｸM-PRO"/>
              </w:rPr>
            </w:pPr>
            <w:r w:rsidRPr="001B3032">
              <w:rPr>
                <w:rFonts w:ascii="HG丸ｺﾞｼｯｸM-PRO" w:eastAsia="HG丸ｺﾞｼｯｸM-PRO" w:hAnsi="HG丸ｺﾞｼｯｸM-PRO" w:hint="eastAsia"/>
                <w:color w:val="2E74B5" w:themeColor="accent1" w:themeShade="BF"/>
              </w:rPr>
              <w:t>なお、運営実証期間中の光熱水費について</w:t>
            </w:r>
            <w:r>
              <w:rPr>
                <w:rFonts w:ascii="HG丸ｺﾞｼｯｸM-PRO" w:eastAsia="HG丸ｺﾞｼｯｸM-PRO" w:hAnsi="HG丸ｺﾞｼｯｸM-PRO" w:hint="eastAsia"/>
                <w:color w:val="2E74B5" w:themeColor="accent1" w:themeShade="BF"/>
              </w:rPr>
              <w:t>は、</w:t>
            </w:r>
            <w:r w:rsidRPr="001B3032">
              <w:rPr>
                <w:rFonts w:ascii="HG丸ｺﾞｼｯｸM-PRO" w:eastAsia="HG丸ｺﾞｼｯｸM-PRO" w:hAnsi="HG丸ｺﾞｼｯｸM-PRO" w:hint="eastAsia"/>
                <w:color w:val="2E74B5" w:themeColor="accent1" w:themeShade="BF"/>
              </w:rPr>
              <w:t>業務委託費に</w:t>
            </w:r>
            <w:r>
              <w:rPr>
                <w:rFonts w:ascii="HG丸ｺﾞｼｯｸM-PRO" w:eastAsia="HG丸ｺﾞｼｯｸM-PRO" w:hAnsi="HG丸ｺﾞｼｯｸM-PRO" w:hint="eastAsia"/>
                <w:color w:val="2E74B5" w:themeColor="accent1" w:themeShade="BF"/>
              </w:rPr>
              <w:t>含まれています。</w:t>
            </w:r>
          </w:p>
        </w:tc>
      </w:tr>
      <w:tr w:rsidR="005437C6" w:rsidTr="002E6926">
        <w:trPr>
          <w:trHeight w:val="1753"/>
        </w:trPr>
        <w:tc>
          <w:tcPr>
            <w:tcW w:w="704" w:type="dxa"/>
            <w:tcBorders>
              <w:top w:val="single" w:sz="4" w:space="0" w:color="auto"/>
              <w:bottom w:val="single" w:sz="4" w:space="0" w:color="auto"/>
            </w:tcBorders>
          </w:tcPr>
          <w:p w:rsidR="005437C6" w:rsidRDefault="005437C6" w:rsidP="000A7555">
            <w:pPr>
              <w:spacing w:beforeLines="50" w:before="180" w:afterLines="50" w:after="180" w:line="160" w:lineRule="atLeast"/>
              <w:jc w:val="center"/>
            </w:pPr>
            <w:r>
              <w:rPr>
                <w:rFonts w:hint="eastAsia"/>
              </w:rPr>
              <w:t>２</w:t>
            </w:r>
          </w:p>
        </w:tc>
        <w:tc>
          <w:tcPr>
            <w:tcW w:w="2977" w:type="dxa"/>
            <w:tcBorders>
              <w:top w:val="single" w:sz="4" w:space="0" w:color="auto"/>
              <w:bottom w:val="single" w:sz="4" w:space="0" w:color="auto"/>
            </w:tcBorders>
          </w:tcPr>
          <w:p w:rsidR="005437C6" w:rsidRPr="005437C6" w:rsidRDefault="002E6926" w:rsidP="003374C6">
            <w:pPr>
              <w:snapToGrid w:val="0"/>
              <w:spacing w:beforeLines="50" w:before="180" w:afterLines="50" w:after="180" w:line="160" w:lineRule="atLeast"/>
              <w:contextualSpacing/>
              <w:rPr>
                <w:rFonts w:asciiTheme="majorEastAsia" w:eastAsiaTheme="majorEastAsia" w:hAnsiTheme="majorEastAsia"/>
                <w:b/>
              </w:rPr>
            </w:pPr>
            <w:r>
              <w:rPr>
                <w:rFonts w:asciiTheme="majorEastAsia" w:eastAsiaTheme="majorEastAsia" w:hAnsiTheme="majorEastAsia" w:hint="eastAsia"/>
                <w:b/>
              </w:rPr>
              <w:t>同上</w:t>
            </w:r>
          </w:p>
        </w:tc>
        <w:tc>
          <w:tcPr>
            <w:tcW w:w="5741" w:type="dxa"/>
            <w:tcBorders>
              <w:top w:val="single" w:sz="4" w:space="0" w:color="auto"/>
              <w:bottom w:val="single" w:sz="4" w:space="0" w:color="auto"/>
            </w:tcBorders>
          </w:tcPr>
          <w:p w:rsidR="005437C6" w:rsidRDefault="005437C6" w:rsidP="00055B62">
            <w:pPr>
              <w:rPr>
                <w:szCs w:val="21"/>
              </w:rPr>
            </w:pPr>
            <w:r>
              <w:rPr>
                <w:rFonts w:hint="eastAsia"/>
                <w:szCs w:val="21"/>
              </w:rPr>
              <w:t>事務に必要な机や椅子、コピー機等は指定管理者の負担か。</w:t>
            </w:r>
          </w:p>
        </w:tc>
        <w:tc>
          <w:tcPr>
            <w:tcW w:w="5741" w:type="dxa"/>
            <w:tcBorders>
              <w:top w:val="single" w:sz="4" w:space="0" w:color="auto"/>
              <w:bottom w:val="single" w:sz="4" w:space="0" w:color="auto"/>
            </w:tcBorders>
          </w:tcPr>
          <w:p w:rsidR="005437C6" w:rsidRPr="006D59DB" w:rsidRDefault="006D59DB" w:rsidP="00EE6B40">
            <w:pPr>
              <w:rPr>
                <w:rFonts w:ascii="HG丸ｺﾞｼｯｸM-PRO" w:eastAsia="HG丸ｺﾞｼｯｸM-PRO" w:hAnsi="HG丸ｺﾞｼｯｸM-PRO"/>
                <w:color w:val="2E74B5" w:themeColor="accent1" w:themeShade="BF"/>
              </w:rPr>
            </w:pPr>
            <w:r w:rsidRPr="006D59DB">
              <w:rPr>
                <w:rFonts w:ascii="HG丸ｺﾞｼｯｸM-PRO" w:eastAsia="HG丸ｺﾞｼｯｸM-PRO" w:hAnsi="HG丸ｺﾞｼｯｸM-PRO" w:hint="eastAsia"/>
                <w:color w:val="2E74B5" w:themeColor="accent1" w:themeShade="BF"/>
              </w:rPr>
              <w:t>指定管理者が管理運営に必要な備品については、町が必要と認めた場合は町が購入し、指定管理者に無償で貸与することとしています。ただし、比較的長期にわたって使用できるもので、</w:t>
            </w:r>
            <w:r>
              <w:rPr>
                <w:rFonts w:ascii="HG丸ｺﾞｼｯｸM-PRO" w:eastAsia="HG丸ｺﾞｼｯｸM-PRO" w:hAnsi="HG丸ｺﾞｼｯｸM-PRO" w:hint="eastAsia"/>
                <w:color w:val="2E74B5" w:themeColor="accent1" w:themeShade="BF"/>
              </w:rPr>
              <w:t>１点</w:t>
            </w:r>
            <w:r w:rsidRPr="006D59DB">
              <w:rPr>
                <w:rFonts w:ascii="HG丸ｺﾞｼｯｸM-PRO" w:eastAsia="HG丸ｺﾞｼｯｸM-PRO" w:hAnsi="HG丸ｺﾞｼｯｸM-PRO" w:hint="eastAsia"/>
                <w:color w:val="2E74B5" w:themeColor="accent1" w:themeShade="BF"/>
              </w:rPr>
              <w:t>５万円以上のものを備品と定義しています。</w:t>
            </w:r>
          </w:p>
          <w:p w:rsidR="006D59DB" w:rsidRPr="006D59DB" w:rsidRDefault="006D59DB" w:rsidP="00EE6B40">
            <w:pPr>
              <w:rPr>
                <w:rFonts w:ascii="HG丸ｺﾞｼｯｸM-PRO" w:eastAsia="HG丸ｺﾞｼｯｸM-PRO" w:hAnsi="HG丸ｺﾞｼｯｸM-PRO"/>
                <w:color w:val="1F4E79" w:themeColor="accent1" w:themeShade="80"/>
              </w:rPr>
            </w:pPr>
            <w:r w:rsidRPr="006D59DB">
              <w:rPr>
                <w:rFonts w:ascii="HG丸ｺﾞｼｯｸM-PRO" w:eastAsia="HG丸ｺﾞｼｯｸM-PRO" w:hAnsi="HG丸ｺﾞｼｯｸM-PRO" w:hint="eastAsia"/>
                <w:color w:val="2E74B5" w:themeColor="accent1" w:themeShade="BF"/>
              </w:rPr>
              <w:t>机や椅子</w:t>
            </w:r>
            <w:r>
              <w:rPr>
                <w:rFonts w:ascii="HG丸ｺﾞｼｯｸM-PRO" w:eastAsia="HG丸ｺﾞｼｯｸM-PRO" w:hAnsi="HG丸ｺﾞｼｯｸM-PRO" w:hint="eastAsia"/>
                <w:color w:val="2E74B5" w:themeColor="accent1" w:themeShade="BF"/>
              </w:rPr>
              <w:t>、コピー機</w:t>
            </w:r>
            <w:r w:rsidRPr="006D59DB">
              <w:rPr>
                <w:rFonts w:ascii="HG丸ｺﾞｼｯｸM-PRO" w:eastAsia="HG丸ｺﾞｼｯｸM-PRO" w:hAnsi="HG丸ｺﾞｼｯｸM-PRO" w:hint="eastAsia"/>
                <w:color w:val="2E74B5" w:themeColor="accent1" w:themeShade="BF"/>
              </w:rPr>
              <w:t>は</w:t>
            </w:r>
            <w:r>
              <w:rPr>
                <w:rFonts w:ascii="HG丸ｺﾞｼｯｸM-PRO" w:eastAsia="HG丸ｺﾞｼｯｸM-PRO" w:hAnsi="HG丸ｺﾞｼｯｸM-PRO" w:hint="eastAsia"/>
                <w:color w:val="2E74B5" w:themeColor="accent1" w:themeShade="BF"/>
              </w:rPr>
              <w:t>金額によっては備品となり、町の負担になります。ただし、コピー機を高額な複合機にする場合は、リースにするのが妥当と考えます。その場合のリース料は指定管理者の負担となります。</w:t>
            </w:r>
          </w:p>
        </w:tc>
      </w:tr>
      <w:tr w:rsidR="000A7555" w:rsidTr="002E6926">
        <w:trPr>
          <w:trHeight w:val="1753"/>
        </w:trPr>
        <w:tc>
          <w:tcPr>
            <w:tcW w:w="704" w:type="dxa"/>
            <w:tcBorders>
              <w:top w:val="single" w:sz="4" w:space="0" w:color="auto"/>
              <w:bottom w:val="single" w:sz="4" w:space="0" w:color="auto"/>
            </w:tcBorders>
          </w:tcPr>
          <w:p w:rsidR="000A7555" w:rsidRDefault="005437C6" w:rsidP="000A7555">
            <w:pPr>
              <w:spacing w:beforeLines="50" w:before="180" w:afterLines="50" w:after="180" w:line="160" w:lineRule="atLeast"/>
              <w:jc w:val="center"/>
            </w:pPr>
            <w:r>
              <w:rPr>
                <w:rFonts w:hint="eastAsia"/>
              </w:rPr>
              <w:t>３</w:t>
            </w:r>
          </w:p>
        </w:tc>
        <w:tc>
          <w:tcPr>
            <w:tcW w:w="2977" w:type="dxa"/>
            <w:tcBorders>
              <w:top w:val="single" w:sz="4" w:space="0" w:color="auto"/>
              <w:bottom w:val="single" w:sz="4" w:space="0" w:color="auto"/>
            </w:tcBorders>
          </w:tcPr>
          <w:p w:rsidR="000A7555" w:rsidRPr="005437C6" w:rsidRDefault="00A81E25" w:rsidP="003374C6">
            <w:pPr>
              <w:snapToGrid w:val="0"/>
              <w:spacing w:beforeLines="50" w:before="180" w:afterLines="50" w:after="180" w:line="160" w:lineRule="atLeast"/>
              <w:contextualSpacing/>
              <w:rPr>
                <w:rFonts w:asciiTheme="majorEastAsia" w:eastAsiaTheme="majorEastAsia" w:hAnsiTheme="majorEastAsia"/>
                <w:b/>
              </w:rPr>
            </w:pPr>
            <w:r w:rsidRPr="005437C6">
              <w:rPr>
                <w:rFonts w:asciiTheme="majorEastAsia" w:eastAsiaTheme="majorEastAsia" w:hAnsiTheme="majorEastAsia" w:hint="eastAsia"/>
                <w:b/>
              </w:rPr>
              <w:t>通信インフラ整備について</w:t>
            </w:r>
          </w:p>
        </w:tc>
        <w:tc>
          <w:tcPr>
            <w:tcW w:w="5741" w:type="dxa"/>
            <w:tcBorders>
              <w:top w:val="single" w:sz="4" w:space="0" w:color="auto"/>
              <w:bottom w:val="single" w:sz="4" w:space="0" w:color="auto"/>
            </w:tcBorders>
          </w:tcPr>
          <w:p w:rsidR="000A7555" w:rsidRPr="00055B62" w:rsidRDefault="00A81E25" w:rsidP="00055B62">
            <w:pPr>
              <w:rPr>
                <w:szCs w:val="21"/>
              </w:rPr>
            </w:pPr>
            <w:r>
              <w:rPr>
                <w:rFonts w:hint="eastAsia"/>
                <w:szCs w:val="21"/>
              </w:rPr>
              <w:t>施設として必要な通信インフラ（電話、インターネット回線、W</w:t>
            </w:r>
            <w:r>
              <w:rPr>
                <w:szCs w:val="21"/>
              </w:rPr>
              <w:t>i-fi</w:t>
            </w:r>
            <w:r>
              <w:rPr>
                <w:rFonts w:hint="eastAsia"/>
                <w:szCs w:val="21"/>
              </w:rPr>
              <w:t>）の整備は、町が行うという理解でよろしいか。</w:t>
            </w:r>
          </w:p>
        </w:tc>
        <w:tc>
          <w:tcPr>
            <w:tcW w:w="5741" w:type="dxa"/>
            <w:tcBorders>
              <w:top w:val="single" w:sz="4" w:space="0" w:color="auto"/>
              <w:bottom w:val="single" w:sz="4" w:space="0" w:color="auto"/>
            </w:tcBorders>
          </w:tcPr>
          <w:p w:rsidR="000A7555" w:rsidRPr="00F00F35" w:rsidRDefault="000B43EF" w:rsidP="00EE6B40">
            <w:pPr>
              <w:rPr>
                <w:rFonts w:ascii="HG丸ｺﾞｼｯｸM-PRO" w:eastAsia="HG丸ｺﾞｼｯｸM-PRO" w:hAnsi="HG丸ｺﾞｼｯｸM-PRO"/>
                <w:color w:val="2E74B5" w:themeColor="accent1" w:themeShade="BF"/>
              </w:rPr>
            </w:pPr>
            <w:r w:rsidRPr="00F00F35">
              <w:rPr>
                <w:rFonts w:ascii="HG丸ｺﾞｼｯｸM-PRO" w:eastAsia="HG丸ｺﾞｼｯｸM-PRO" w:hAnsi="HG丸ｺﾞｼｯｸM-PRO" w:hint="eastAsia"/>
                <w:color w:val="2E74B5" w:themeColor="accent1" w:themeShade="BF"/>
              </w:rPr>
              <w:t>整備に必要な空配管は、町により設置済みです。通信インフラは</w:t>
            </w:r>
            <w:r w:rsidR="00F00F35">
              <w:rPr>
                <w:rFonts w:ascii="HG丸ｺﾞｼｯｸM-PRO" w:eastAsia="HG丸ｺﾞｼｯｸM-PRO" w:hAnsi="HG丸ｺﾞｼｯｸM-PRO" w:hint="eastAsia"/>
                <w:color w:val="2E74B5" w:themeColor="accent1" w:themeShade="BF"/>
              </w:rPr>
              <w:t>、</w:t>
            </w:r>
            <w:r w:rsidRPr="00F00F35">
              <w:rPr>
                <w:rFonts w:ascii="HG丸ｺﾞｼｯｸM-PRO" w:eastAsia="HG丸ｺﾞｼｯｸM-PRO" w:hAnsi="HG丸ｺﾞｼｯｸM-PRO" w:hint="eastAsia"/>
                <w:color w:val="2E74B5" w:themeColor="accent1" w:themeShade="BF"/>
              </w:rPr>
              <w:t>整備直後からランニングコストが必要になるため、また</w:t>
            </w:r>
            <w:r w:rsidR="00F00F35">
              <w:rPr>
                <w:rFonts w:ascii="HG丸ｺﾞｼｯｸM-PRO" w:eastAsia="HG丸ｺﾞｼｯｸM-PRO" w:hAnsi="HG丸ｺﾞｼｯｸM-PRO" w:hint="eastAsia"/>
                <w:color w:val="2E74B5" w:themeColor="accent1" w:themeShade="BF"/>
              </w:rPr>
              <w:t>設置</w:t>
            </w:r>
            <w:r w:rsidRPr="00F00F35">
              <w:rPr>
                <w:rFonts w:ascii="HG丸ｺﾞｼｯｸM-PRO" w:eastAsia="HG丸ｺﾞｼｯｸM-PRO" w:hAnsi="HG丸ｺﾞｼｯｸM-PRO" w:hint="eastAsia"/>
                <w:color w:val="2E74B5" w:themeColor="accent1" w:themeShade="BF"/>
              </w:rPr>
              <w:t>費がランニングコストに含まれる場合が多いため、指定管理者の負担になると考えています。ただし、それらの初期費用は運営実証の業務委託費に含まれています。</w:t>
            </w:r>
          </w:p>
          <w:p w:rsidR="000B43EF" w:rsidRPr="00F00F35" w:rsidRDefault="000B43EF" w:rsidP="00EE6B40">
            <w:pPr>
              <w:rPr>
                <w:rFonts w:ascii="HG丸ｺﾞｼｯｸM-PRO" w:eastAsia="HG丸ｺﾞｼｯｸM-PRO" w:hAnsi="HG丸ｺﾞｼｯｸM-PRO"/>
                <w:color w:val="2E74B5" w:themeColor="accent1" w:themeShade="BF"/>
              </w:rPr>
            </w:pPr>
            <w:r w:rsidRPr="00F00F35">
              <w:rPr>
                <w:rFonts w:ascii="HG丸ｺﾞｼｯｸM-PRO" w:eastAsia="HG丸ｺﾞｼｯｸM-PRO" w:hAnsi="HG丸ｺﾞｼｯｸM-PRO" w:hint="eastAsia"/>
                <w:color w:val="2E74B5" w:themeColor="accent1" w:themeShade="BF"/>
              </w:rPr>
              <w:t>【補足：運営実証事業委託業務に含まれる費用】</w:t>
            </w:r>
          </w:p>
          <w:p w:rsidR="000B43EF" w:rsidRPr="00F00F35" w:rsidRDefault="000B43EF" w:rsidP="00EE6B40">
            <w:pPr>
              <w:rPr>
                <w:rFonts w:ascii="HG丸ｺﾞｼｯｸM-PRO" w:eastAsia="HG丸ｺﾞｼｯｸM-PRO" w:hAnsi="HG丸ｺﾞｼｯｸM-PRO"/>
                <w:color w:val="2E74B5" w:themeColor="accent1" w:themeShade="BF"/>
              </w:rPr>
            </w:pPr>
            <w:r w:rsidRPr="00F00F35">
              <w:rPr>
                <w:rFonts w:ascii="HG丸ｺﾞｼｯｸM-PRO" w:eastAsia="HG丸ｺﾞｼｯｸM-PRO" w:hAnsi="HG丸ｺﾞｼｯｸM-PRO" w:hint="eastAsia"/>
                <w:color w:val="2E74B5" w:themeColor="accent1" w:themeShade="BF"/>
              </w:rPr>
              <w:t>・人件費（６カ月分）</w:t>
            </w:r>
          </w:p>
          <w:p w:rsidR="000B43EF" w:rsidRPr="00F00F35" w:rsidRDefault="000B43EF" w:rsidP="00EE6B40">
            <w:pPr>
              <w:rPr>
                <w:rFonts w:ascii="HG丸ｺﾞｼｯｸM-PRO" w:eastAsia="HG丸ｺﾞｼｯｸM-PRO" w:hAnsi="HG丸ｺﾞｼｯｸM-PRO"/>
                <w:color w:val="2E74B5" w:themeColor="accent1" w:themeShade="BF"/>
              </w:rPr>
            </w:pPr>
            <w:r w:rsidRPr="00F00F35">
              <w:rPr>
                <w:rFonts w:ascii="HG丸ｺﾞｼｯｸM-PRO" w:eastAsia="HG丸ｺﾞｼｯｸM-PRO" w:hAnsi="HG丸ｺﾞｼｯｸM-PRO" w:hint="eastAsia"/>
                <w:color w:val="2E74B5" w:themeColor="accent1" w:themeShade="BF"/>
              </w:rPr>
              <w:lastRenderedPageBreak/>
              <w:t>・WEBサイト、</w:t>
            </w:r>
            <w:r w:rsidR="00F00F35">
              <w:rPr>
                <w:rFonts w:ascii="HG丸ｺﾞｼｯｸM-PRO" w:eastAsia="HG丸ｺﾞｼｯｸM-PRO" w:hAnsi="HG丸ｺﾞｼｯｸM-PRO" w:hint="eastAsia"/>
                <w:color w:val="2E74B5" w:themeColor="accent1" w:themeShade="BF"/>
              </w:rPr>
              <w:t>管理</w:t>
            </w:r>
            <w:r w:rsidRPr="00F00F35">
              <w:rPr>
                <w:rFonts w:ascii="HG丸ｺﾞｼｯｸM-PRO" w:eastAsia="HG丸ｺﾞｼｯｸM-PRO" w:hAnsi="HG丸ｺﾞｼｯｸM-PRO" w:hint="eastAsia"/>
                <w:color w:val="2E74B5" w:themeColor="accent1" w:themeShade="BF"/>
              </w:rPr>
              <w:t>システム</w:t>
            </w:r>
            <w:r w:rsidR="00F00F35">
              <w:rPr>
                <w:rFonts w:ascii="HG丸ｺﾞｼｯｸM-PRO" w:eastAsia="HG丸ｺﾞｼｯｸM-PRO" w:hAnsi="HG丸ｺﾞｼｯｸM-PRO" w:hint="eastAsia"/>
                <w:color w:val="2E74B5" w:themeColor="accent1" w:themeShade="BF"/>
              </w:rPr>
              <w:t>等</w:t>
            </w:r>
            <w:r w:rsidRPr="00F00F35">
              <w:rPr>
                <w:rFonts w:ascii="HG丸ｺﾞｼｯｸM-PRO" w:eastAsia="HG丸ｺﾞｼｯｸM-PRO" w:hAnsi="HG丸ｺﾞｼｯｸM-PRO" w:hint="eastAsia"/>
                <w:color w:val="2E74B5" w:themeColor="accent1" w:themeShade="BF"/>
              </w:rPr>
              <w:t>の構築費</w:t>
            </w:r>
          </w:p>
          <w:p w:rsidR="000B43EF" w:rsidRPr="00F00F35" w:rsidRDefault="000B43EF" w:rsidP="00546F3A">
            <w:pPr>
              <w:rPr>
                <w:rFonts w:ascii="HG丸ｺﾞｼｯｸM-PRO" w:eastAsia="HG丸ｺﾞｼｯｸM-PRO" w:hAnsi="HG丸ｺﾞｼｯｸM-PRO"/>
                <w:color w:val="2E74B5" w:themeColor="accent1" w:themeShade="BF"/>
              </w:rPr>
            </w:pPr>
            <w:r w:rsidRPr="00F00F35">
              <w:rPr>
                <w:rFonts w:ascii="HG丸ｺﾞｼｯｸM-PRO" w:eastAsia="HG丸ｺﾞｼｯｸM-PRO" w:hAnsi="HG丸ｺﾞｼｯｸM-PRO" w:hint="eastAsia"/>
                <w:color w:val="2E74B5" w:themeColor="accent1" w:themeShade="BF"/>
              </w:rPr>
              <w:t>・広報素材製作費（デザイン、撮影、翻訳等）</w:t>
            </w:r>
          </w:p>
          <w:p w:rsidR="000B43EF" w:rsidRPr="00F00F35" w:rsidRDefault="000B43EF" w:rsidP="00546F3A">
            <w:pPr>
              <w:rPr>
                <w:rFonts w:ascii="HG丸ｺﾞｼｯｸM-PRO" w:eastAsia="HG丸ｺﾞｼｯｸM-PRO" w:hAnsi="HG丸ｺﾞｼｯｸM-PRO"/>
                <w:color w:val="2E74B5" w:themeColor="accent1" w:themeShade="BF"/>
              </w:rPr>
            </w:pPr>
            <w:r w:rsidRPr="00F00F35">
              <w:rPr>
                <w:rFonts w:ascii="HG丸ｺﾞｼｯｸM-PRO" w:eastAsia="HG丸ｺﾞｼｯｸM-PRO" w:hAnsi="HG丸ｺﾞｼｯｸM-PRO" w:hint="eastAsia"/>
                <w:color w:val="2E74B5" w:themeColor="accent1" w:themeShade="BF"/>
              </w:rPr>
              <w:t>・運営実証に必要となる設備費、備品購入費</w:t>
            </w:r>
          </w:p>
          <w:p w:rsidR="000B43EF" w:rsidRPr="00F00F35" w:rsidRDefault="000B43EF" w:rsidP="00546F3A">
            <w:pPr>
              <w:rPr>
                <w:rFonts w:ascii="HG丸ｺﾞｼｯｸM-PRO" w:eastAsia="HG丸ｺﾞｼｯｸM-PRO" w:hAnsi="HG丸ｺﾞｼｯｸM-PRO"/>
                <w:color w:val="2E74B5" w:themeColor="accent1" w:themeShade="BF"/>
              </w:rPr>
            </w:pPr>
            <w:r w:rsidRPr="00F00F35">
              <w:rPr>
                <w:rFonts w:ascii="HG丸ｺﾞｼｯｸM-PRO" w:eastAsia="HG丸ｺﾞｼｯｸM-PRO" w:hAnsi="HG丸ｺﾞｼｯｸM-PRO" w:hint="eastAsia"/>
                <w:color w:val="2E74B5" w:themeColor="accent1" w:themeShade="BF"/>
              </w:rPr>
              <w:t>・維持管理費</w:t>
            </w:r>
            <w:r w:rsidR="00BC5EA5">
              <w:rPr>
                <w:rFonts w:ascii="HG丸ｺﾞｼｯｸM-PRO" w:eastAsia="HG丸ｺﾞｼｯｸM-PRO" w:hAnsi="HG丸ｺﾞｼｯｸM-PRO" w:hint="eastAsia"/>
                <w:color w:val="2E74B5" w:themeColor="accent1" w:themeShade="BF"/>
              </w:rPr>
              <w:t>（光熱水費、清掃費等）</w:t>
            </w:r>
            <w:bookmarkStart w:id="0" w:name="_GoBack"/>
            <w:bookmarkEnd w:id="0"/>
          </w:p>
          <w:p w:rsidR="000B43EF" w:rsidRPr="00F00F35" w:rsidRDefault="000B43EF" w:rsidP="00EE6B40">
            <w:pPr>
              <w:rPr>
                <w:rFonts w:ascii="HG丸ｺﾞｼｯｸM-PRO" w:eastAsia="HG丸ｺﾞｼｯｸM-PRO" w:hAnsi="HG丸ｺﾞｼｯｸM-PRO"/>
                <w:color w:val="2E74B5" w:themeColor="accent1" w:themeShade="BF"/>
              </w:rPr>
            </w:pPr>
            <w:r w:rsidRPr="00F00F35">
              <w:rPr>
                <w:rFonts w:ascii="HG丸ｺﾞｼｯｸM-PRO" w:eastAsia="HG丸ｺﾞｼｯｸM-PRO" w:hAnsi="HG丸ｺﾞｼｯｸM-PRO" w:hint="eastAsia"/>
                <w:color w:val="2E74B5" w:themeColor="accent1" w:themeShade="BF"/>
              </w:rPr>
              <w:t>・プレイベント開催費</w:t>
            </w:r>
          </w:p>
          <w:p w:rsidR="000B43EF" w:rsidRPr="00F00F35" w:rsidRDefault="000B43EF" w:rsidP="00EE6B40">
            <w:pPr>
              <w:rPr>
                <w:rFonts w:ascii="HG丸ｺﾞｼｯｸM-PRO" w:eastAsia="HG丸ｺﾞｼｯｸM-PRO" w:hAnsi="HG丸ｺﾞｼｯｸM-PRO"/>
                <w:color w:val="2E74B5" w:themeColor="accent1" w:themeShade="BF"/>
              </w:rPr>
            </w:pPr>
            <w:r w:rsidRPr="00F00F35">
              <w:rPr>
                <w:rFonts w:ascii="HG丸ｺﾞｼｯｸM-PRO" w:eastAsia="HG丸ｺﾞｼｯｸM-PRO" w:hAnsi="HG丸ｺﾞｼｯｸM-PRO" w:hint="eastAsia"/>
                <w:color w:val="2E74B5" w:themeColor="accent1" w:themeShade="BF"/>
              </w:rPr>
              <w:t>・事業計画策定、効果検証に係る費用</w:t>
            </w:r>
          </w:p>
          <w:p w:rsidR="00EC45CA" w:rsidRPr="00F00F35" w:rsidRDefault="000B43EF" w:rsidP="00EE6B40">
            <w:pPr>
              <w:rPr>
                <w:rFonts w:ascii="HG丸ｺﾞｼｯｸM-PRO" w:eastAsia="HG丸ｺﾞｼｯｸM-PRO" w:hAnsi="HG丸ｺﾞｼｯｸM-PRO"/>
                <w:color w:val="2E74B5" w:themeColor="accent1" w:themeShade="BF"/>
              </w:rPr>
            </w:pPr>
            <w:r w:rsidRPr="00F00F35">
              <w:rPr>
                <w:rFonts w:ascii="HG丸ｺﾞｼｯｸM-PRO" w:eastAsia="HG丸ｺﾞｼｯｸM-PRO" w:hAnsi="HG丸ｺﾞｼｯｸM-PRO" w:hint="eastAsia"/>
                <w:color w:val="2E74B5" w:themeColor="accent1" w:themeShade="BF"/>
              </w:rPr>
              <w:t>・</w:t>
            </w:r>
            <w:r w:rsidR="00EC45CA" w:rsidRPr="00F00F35">
              <w:rPr>
                <w:rFonts w:ascii="HG丸ｺﾞｼｯｸM-PRO" w:eastAsia="HG丸ｺﾞｼｯｸM-PRO" w:hAnsi="HG丸ｺﾞｼｯｸM-PRO" w:hint="eastAsia"/>
                <w:color w:val="2E74B5" w:themeColor="accent1" w:themeShade="BF"/>
              </w:rPr>
              <w:t>諸経費</w:t>
            </w:r>
          </w:p>
          <w:p w:rsidR="000B43EF" w:rsidRPr="00F00F35" w:rsidRDefault="00EC45CA" w:rsidP="00EE6B40">
            <w:pPr>
              <w:rPr>
                <w:rFonts w:ascii="HG丸ｺﾞｼｯｸM-PRO" w:eastAsia="HG丸ｺﾞｼｯｸM-PRO" w:hAnsi="HG丸ｺﾞｼｯｸM-PRO"/>
                <w:color w:val="2E74B5" w:themeColor="accent1" w:themeShade="BF"/>
              </w:rPr>
            </w:pPr>
            <w:r w:rsidRPr="00F00F35">
              <w:rPr>
                <w:rFonts w:ascii="HG丸ｺﾞｼｯｸM-PRO" w:eastAsia="HG丸ｺﾞｼｯｸM-PRO" w:hAnsi="HG丸ｺﾞｼｯｸM-PRO" w:hint="eastAsia"/>
                <w:color w:val="2E74B5" w:themeColor="accent1" w:themeShade="BF"/>
              </w:rPr>
              <w:t>・その他、指定管理予定者の提案により必要となる費用等</w:t>
            </w:r>
          </w:p>
          <w:p w:rsidR="000B43EF" w:rsidRPr="000F63DA" w:rsidRDefault="000B43EF" w:rsidP="00EE6B40">
            <w:pPr>
              <w:rPr>
                <w:rFonts w:ascii="HG丸ｺﾞｼｯｸM-PRO" w:eastAsia="HG丸ｺﾞｼｯｸM-PRO" w:hAnsi="HG丸ｺﾞｼｯｸM-PRO"/>
                <w:color w:val="1F4E79" w:themeColor="accent1" w:themeShade="80"/>
              </w:rPr>
            </w:pPr>
            <w:r w:rsidRPr="00F00F35">
              <w:rPr>
                <w:rFonts w:ascii="HG丸ｺﾞｼｯｸM-PRO" w:eastAsia="HG丸ｺﾞｼｯｸM-PRO" w:hAnsi="HG丸ｺﾞｼｯｸM-PRO" w:hint="eastAsia"/>
                <w:color w:val="2E74B5" w:themeColor="accent1" w:themeShade="BF"/>
              </w:rPr>
              <w:t>となります。</w:t>
            </w:r>
          </w:p>
        </w:tc>
      </w:tr>
      <w:tr w:rsidR="000A7555" w:rsidTr="002E6926">
        <w:trPr>
          <w:trHeight w:val="1753"/>
        </w:trPr>
        <w:tc>
          <w:tcPr>
            <w:tcW w:w="704" w:type="dxa"/>
            <w:tcBorders>
              <w:top w:val="single" w:sz="4" w:space="0" w:color="auto"/>
            </w:tcBorders>
          </w:tcPr>
          <w:p w:rsidR="000A7555" w:rsidRDefault="005437C6" w:rsidP="000A7555">
            <w:pPr>
              <w:spacing w:beforeLines="50" w:before="180" w:afterLines="50" w:after="180" w:line="160" w:lineRule="atLeast"/>
              <w:jc w:val="center"/>
            </w:pPr>
            <w:r>
              <w:rPr>
                <w:rFonts w:hint="eastAsia"/>
              </w:rPr>
              <w:lastRenderedPageBreak/>
              <w:t>４</w:t>
            </w:r>
          </w:p>
        </w:tc>
        <w:tc>
          <w:tcPr>
            <w:tcW w:w="2977" w:type="dxa"/>
            <w:tcBorders>
              <w:top w:val="single" w:sz="4" w:space="0" w:color="auto"/>
            </w:tcBorders>
          </w:tcPr>
          <w:p w:rsidR="000A7555" w:rsidRPr="005437C6" w:rsidRDefault="005437C6" w:rsidP="008E37C2">
            <w:pPr>
              <w:snapToGrid w:val="0"/>
              <w:spacing w:beforeLines="50" w:before="180" w:afterLines="50" w:after="180" w:line="160" w:lineRule="atLeast"/>
              <w:contextualSpacing/>
              <w:rPr>
                <w:rFonts w:asciiTheme="majorEastAsia" w:eastAsiaTheme="majorEastAsia" w:hAnsiTheme="majorEastAsia"/>
                <w:b/>
              </w:rPr>
            </w:pPr>
            <w:r w:rsidRPr="005437C6">
              <w:rPr>
                <w:rFonts w:asciiTheme="majorEastAsia" w:eastAsiaTheme="majorEastAsia" w:hAnsiTheme="majorEastAsia" w:hint="eastAsia"/>
                <w:b/>
              </w:rPr>
              <w:t>委託料の支払いについて</w:t>
            </w:r>
          </w:p>
        </w:tc>
        <w:tc>
          <w:tcPr>
            <w:tcW w:w="5741" w:type="dxa"/>
            <w:tcBorders>
              <w:top w:val="single" w:sz="4" w:space="0" w:color="auto"/>
            </w:tcBorders>
          </w:tcPr>
          <w:p w:rsidR="000A7555" w:rsidRPr="008527D3" w:rsidRDefault="005437C6" w:rsidP="008527D3">
            <w:pPr>
              <w:spacing w:after="142"/>
              <w:rPr>
                <w:rFonts w:ascii="游明朝" w:eastAsia="游明朝" w:hAnsi="游明朝" w:cs="Times New Roman"/>
                <w:szCs w:val="21"/>
              </w:rPr>
            </w:pPr>
            <w:r>
              <w:rPr>
                <w:rFonts w:ascii="游明朝" w:eastAsia="游明朝" w:hAnsi="游明朝" w:cs="Times New Roman" w:hint="eastAsia"/>
                <w:szCs w:val="21"/>
              </w:rPr>
              <w:t>運営実証事業業務の委託料は、いつ支払われるか。支払いまでの間、指定管理予定事業者が運営にかかる経費を立て替える必要があるか。</w:t>
            </w:r>
          </w:p>
        </w:tc>
        <w:tc>
          <w:tcPr>
            <w:tcW w:w="5741" w:type="dxa"/>
            <w:tcBorders>
              <w:top w:val="single" w:sz="4" w:space="0" w:color="auto"/>
            </w:tcBorders>
          </w:tcPr>
          <w:p w:rsidR="000A7555" w:rsidRPr="000F63DA" w:rsidRDefault="00546F3A" w:rsidP="00546F3A">
            <w:pPr>
              <w:snapToGrid w:val="0"/>
              <w:spacing w:line="340" w:lineRule="exact"/>
              <w:contextualSpacing/>
              <w:rPr>
                <w:rFonts w:ascii="HG丸ｺﾞｼｯｸM-PRO" w:eastAsia="HG丸ｺﾞｼｯｸM-PRO" w:hAnsi="HG丸ｺﾞｼｯｸM-PRO"/>
                <w:color w:val="2F5496" w:themeColor="accent5" w:themeShade="BF"/>
              </w:rPr>
            </w:pPr>
            <w:r w:rsidRPr="00546F3A">
              <w:rPr>
                <w:rFonts w:ascii="HG丸ｺﾞｼｯｸM-PRO" w:eastAsia="HG丸ｺﾞｼｯｸM-PRO" w:hAnsi="HG丸ｺﾞｼｯｸM-PRO" w:hint="eastAsia"/>
                <w:color w:val="2E74B5" w:themeColor="accent1" w:themeShade="BF"/>
              </w:rPr>
              <w:t>委託料の支払いは、委託事業の完了について行う検査終了後にお支払いします。ただし、町が必要と認めるときは、委託料の一部を前払いできる契約にしたいと考えています。</w:t>
            </w:r>
          </w:p>
        </w:tc>
      </w:tr>
      <w:tr w:rsidR="005437C6" w:rsidTr="00887501">
        <w:tc>
          <w:tcPr>
            <w:tcW w:w="704" w:type="dxa"/>
            <w:tcBorders>
              <w:bottom w:val="dotted" w:sz="4" w:space="0" w:color="auto"/>
            </w:tcBorders>
          </w:tcPr>
          <w:p w:rsidR="005437C6" w:rsidRDefault="005437C6" w:rsidP="005437C6">
            <w:pPr>
              <w:spacing w:beforeLines="50" w:before="180" w:afterLines="50" w:after="180" w:line="160" w:lineRule="atLeast"/>
              <w:jc w:val="center"/>
            </w:pPr>
            <w:r>
              <w:rPr>
                <w:rFonts w:hint="eastAsia"/>
              </w:rPr>
              <w:t>５</w:t>
            </w:r>
          </w:p>
        </w:tc>
        <w:tc>
          <w:tcPr>
            <w:tcW w:w="2977" w:type="dxa"/>
            <w:tcBorders>
              <w:bottom w:val="dotted" w:sz="4" w:space="0" w:color="auto"/>
            </w:tcBorders>
          </w:tcPr>
          <w:p w:rsidR="005437C6" w:rsidRPr="00510D9D" w:rsidRDefault="005437C6" w:rsidP="005437C6">
            <w:pPr>
              <w:snapToGrid w:val="0"/>
              <w:spacing w:beforeLines="50" w:before="180" w:afterLines="50" w:after="180" w:line="160" w:lineRule="atLeast"/>
              <w:contextualSpacing/>
              <w:rPr>
                <w:rFonts w:asciiTheme="majorHAnsi" w:eastAsiaTheme="majorHAnsi" w:hAnsiTheme="majorHAnsi"/>
                <w:b/>
              </w:rPr>
            </w:pPr>
            <w:r>
              <w:rPr>
                <w:rFonts w:asciiTheme="majorHAnsi" w:eastAsiaTheme="majorHAnsi" w:hAnsiTheme="majorHAnsi" w:hint="eastAsia"/>
                <w:b/>
              </w:rPr>
              <w:t>テナント</w:t>
            </w:r>
            <w:r w:rsidR="006A76E6">
              <w:rPr>
                <w:rFonts w:asciiTheme="majorHAnsi" w:eastAsiaTheme="majorHAnsi" w:hAnsiTheme="majorHAnsi" w:hint="eastAsia"/>
                <w:b/>
              </w:rPr>
              <w:t>の選定</w:t>
            </w:r>
            <w:r>
              <w:rPr>
                <w:rFonts w:asciiTheme="majorHAnsi" w:eastAsiaTheme="majorHAnsi" w:hAnsiTheme="majorHAnsi" w:hint="eastAsia"/>
                <w:b/>
              </w:rPr>
              <w:t>について</w:t>
            </w:r>
          </w:p>
        </w:tc>
        <w:tc>
          <w:tcPr>
            <w:tcW w:w="5741" w:type="dxa"/>
            <w:tcBorders>
              <w:bottom w:val="dotted" w:sz="4" w:space="0" w:color="auto"/>
            </w:tcBorders>
          </w:tcPr>
          <w:p w:rsidR="005437C6" w:rsidRPr="00510D9D" w:rsidRDefault="005437C6" w:rsidP="005437C6">
            <w:pPr>
              <w:rPr>
                <w:szCs w:val="21"/>
              </w:rPr>
            </w:pPr>
            <w:r>
              <w:rPr>
                <w:rFonts w:hint="eastAsia"/>
                <w:szCs w:val="21"/>
              </w:rPr>
              <w:t>テナントの選定及び契約は、町が行うと理解してよいか。</w:t>
            </w:r>
          </w:p>
        </w:tc>
        <w:tc>
          <w:tcPr>
            <w:tcW w:w="5741" w:type="dxa"/>
            <w:tcBorders>
              <w:bottom w:val="dotted" w:sz="4" w:space="0" w:color="auto"/>
            </w:tcBorders>
          </w:tcPr>
          <w:p w:rsidR="005437C6" w:rsidRPr="000F63DA" w:rsidRDefault="005859D3" w:rsidP="005437C6">
            <w:pPr>
              <w:rPr>
                <w:rFonts w:ascii="HG丸ｺﾞｼｯｸM-PRO" w:eastAsia="HG丸ｺﾞｼｯｸM-PRO" w:hAnsi="HG丸ｺﾞｼｯｸM-PRO"/>
                <w:color w:val="2F5496" w:themeColor="accent5" w:themeShade="BF"/>
                <w:kern w:val="0"/>
                <w:szCs w:val="21"/>
              </w:rPr>
            </w:pPr>
            <w:r>
              <w:rPr>
                <w:rFonts w:ascii="HG丸ｺﾞｼｯｸM-PRO" w:eastAsia="HG丸ｺﾞｼｯｸM-PRO" w:hAnsi="HG丸ｺﾞｼｯｸM-PRO" w:hint="eastAsia"/>
                <w:color w:val="2E74B5" w:themeColor="accent1" w:themeShade="BF"/>
                <w:kern w:val="0"/>
                <w:szCs w:val="21"/>
              </w:rPr>
              <w:t>テナントに入る事業者についても、人員の募集など事前の準備が必要なことから、今年中にはテナント入居者を決定したいと考えています。しかし、</w:t>
            </w:r>
            <w:r w:rsidR="00546F3A">
              <w:rPr>
                <w:rFonts w:ascii="HG丸ｺﾞｼｯｸM-PRO" w:eastAsia="HG丸ｺﾞｼｯｸM-PRO" w:hAnsi="HG丸ｺﾞｼｯｸM-PRO" w:hint="eastAsia"/>
                <w:color w:val="2E74B5" w:themeColor="accent1" w:themeShade="BF"/>
                <w:kern w:val="0"/>
                <w:szCs w:val="21"/>
              </w:rPr>
              <w:t>指定管理予定者に</w:t>
            </w:r>
            <w:r>
              <w:rPr>
                <w:rFonts w:ascii="HG丸ｺﾞｼｯｸM-PRO" w:eastAsia="HG丸ｺﾞｼｯｸM-PRO" w:hAnsi="HG丸ｺﾞｼｯｸM-PRO" w:hint="eastAsia"/>
                <w:color w:val="2E74B5" w:themeColor="accent1" w:themeShade="BF"/>
                <w:kern w:val="0"/>
                <w:szCs w:val="21"/>
              </w:rPr>
              <w:t>は</w:t>
            </w:r>
            <w:r w:rsidR="00A10429">
              <w:rPr>
                <w:rFonts w:ascii="HG丸ｺﾞｼｯｸM-PRO" w:eastAsia="HG丸ｺﾞｼｯｸM-PRO" w:hAnsi="HG丸ｺﾞｼｯｸM-PRO" w:hint="eastAsia"/>
                <w:color w:val="2E74B5" w:themeColor="accent1" w:themeShade="BF"/>
                <w:kern w:val="0"/>
                <w:szCs w:val="21"/>
              </w:rPr>
              <w:t>許可</w:t>
            </w:r>
            <w:r w:rsidR="00546F3A">
              <w:rPr>
                <w:rFonts w:ascii="HG丸ｺﾞｼｯｸM-PRO" w:eastAsia="HG丸ｺﾞｼｯｸM-PRO" w:hAnsi="HG丸ｺﾞｼｯｸM-PRO" w:hint="eastAsia"/>
                <w:color w:val="2E74B5" w:themeColor="accent1" w:themeShade="BF"/>
                <w:kern w:val="0"/>
                <w:szCs w:val="21"/>
              </w:rPr>
              <w:t>権限がないことから、</w:t>
            </w:r>
            <w:r w:rsidR="00546F3A" w:rsidRPr="00546F3A">
              <w:rPr>
                <w:rFonts w:ascii="HG丸ｺﾞｼｯｸM-PRO" w:eastAsia="HG丸ｺﾞｼｯｸM-PRO" w:hAnsi="HG丸ｺﾞｼｯｸM-PRO" w:hint="eastAsia"/>
                <w:color w:val="2E74B5" w:themeColor="accent1" w:themeShade="BF"/>
                <w:kern w:val="0"/>
                <w:szCs w:val="21"/>
              </w:rPr>
              <w:t>内子町が公募して選定及び契約をする予定です。</w:t>
            </w:r>
            <w:r w:rsidR="00546F3A">
              <w:rPr>
                <w:rFonts w:ascii="HG丸ｺﾞｼｯｸM-PRO" w:eastAsia="HG丸ｺﾞｼｯｸM-PRO" w:hAnsi="HG丸ｺﾞｼｯｸM-PRO" w:hint="eastAsia"/>
                <w:color w:val="2E74B5" w:themeColor="accent1" w:themeShade="BF"/>
                <w:kern w:val="0"/>
                <w:szCs w:val="21"/>
              </w:rPr>
              <w:t>ただし、</w:t>
            </w:r>
            <w:r w:rsidR="00EE5BDA">
              <w:rPr>
                <w:rFonts w:ascii="HG丸ｺﾞｼｯｸM-PRO" w:eastAsia="HG丸ｺﾞｼｯｸM-PRO" w:hAnsi="HG丸ｺﾞｼｯｸM-PRO" w:hint="eastAsia"/>
                <w:color w:val="2E74B5" w:themeColor="accent1" w:themeShade="BF"/>
                <w:kern w:val="0"/>
                <w:szCs w:val="21"/>
              </w:rPr>
              <w:t>指定管理者に指定後、</w:t>
            </w:r>
            <w:r w:rsidR="00546F3A">
              <w:rPr>
                <w:rFonts w:ascii="HG丸ｺﾞｼｯｸM-PRO" w:eastAsia="HG丸ｺﾞｼｯｸM-PRO" w:hAnsi="HG丸ｺﾞｼｯｸM-PRO" w:hint="eastAsia"/>
                <w:color w:val="2E74B5" w:themeColor="accent1" w:themeShade="BF"/>
                <w:kern w:val="0"/>
                <w:szCs w:val="21"/>
              </w:rPr>
              <w:t>契約期間満了などにより事業者の入れ替えが必要となった場合は、指定管理者が</w:t>
            </w:r>
            <w:r w:rsidR="00EE5BDA">
              <w:rPr>
                <w:rFonts w:ascii="HG丸ｺﾞｼｯｸM-PRO" w:eastAsia="HG丸ｺﾞｼｯｸM-PRO" w:hAnsi="HG丸ｺﾞｼｯｸM-PRO" w:hint="eastAsia"/>
                <w:color w:val="2E74B5" w:themeColor="accent1" w:themeShade="BF"/>
                <w:kern w:val="0"/>
                <w:szCs w:val="21"/>
              </w:rPr>
              <w:t>許可手続き等をする予定です。</w:t>
            </w:r>
          </w:p>
        </w:tc>
      </w:tr>
      <w:tr w:rsidR="00510D9D" w:rsidTr="002E6926">
        <w:tc>
          <w:tcPr>
            <w:tcW w:w="704" w:type="dxa"/>
            <w:tcBorders>
              <w:bottom w:val="single" w:sz="4" w:space="0" w:color="auto"/>
            </w:tcBorders>
          </w:tcPr>
          <w:p w:rsidR="00510D9D" w:rsidRDefault="005437C6" w:rsidP="000A7555">
            <w:pPr>
              <w:spacing w:beforeLines="50" w:before="180" w:afterLines="50" w:after="180" w:line="160" w:lineRule="atLeast"/>
              <w:jc w:val="center"/>
            </w:pPr>
            <w:r>
              <w:rPr>
                <w:rFonts w:hint="eastAsia"/>
              </w:rPr>
              <w:t>６</w:t>
            </w:r>
          </w:p>
        </w:tc>
        <w:tc>
          <w:tcPr>
            <w:tcW w:w="2977" w:type="dxa"/>
            <w:tcBorders>
              <w:bottom w:val="single" w:sz="4" w:space="0" w:color="auto"/>
            </w:tcBorders>
          </w:tcPr>
          <w:p w:rsidR="00510D9D" w:rsidRDefault="005437C6" w:rsidP="008E37C2">
            <w:pPr>
              <w:snapToGrid w:val="0"/>
              <w:spacing w:beforeLines="50" w:before="180" w:afterLines="50" w:after="180" w:line="160" w:lineRule="atLeast"/>
              <w:contextualSpacing/>
              <w:rPr>
                <w:rFonts w:asciiTheme="majorHAnsi" w:eastAsiaTheme="majorHAnsi" w:hAnsiTheme="majorHAnsi"/>
                <w:b/>
              </w:rPr>
            </w:pPr>
            <w:r>
              <w:rPr>
                <w:rFonts w:asciiTheme="majorHAnsi" w:eastAsiaTheme="majorHAnsi" w:hAnsiTheme="majorHAnsi" w:hint="eastAsia"/>
                <w:b/>
              </w:rPr>
              <w:t>実施要項３</w:t>
            </w:r>
          </w:p>
          <w:p w:rsidR="005437C6" w:rsidRPr="00510D9D" w:rsidRDefault="00221B29" w:rsidP="008E37C2">
            <w:pPr>
              <w:snapToGrid w:val="0"/>
              <w:spacing w:beforeLines="50" w:before="180" w:afterLines="50" w:after="180" w:line="160" w:lineRule="atLeast"/>
              <w:contextualSpacing/>
              <w:rPr>
                <w:rFonts w:asciiTheme="majorHAnsi" w:eastAsiaTheme="majorHAnsi" w:hAnsiTheme="majorHAnsi"/>
                <w:b/>
              </w:rPr>
            </w:pPr>
            <w:r>
              <w:rPr>
                <w:rFonts w:asciiTheme="majorHAnsi" w:eastAsiaTheme="majorHAnsi" w:hAnsiTheme="majorHAnsi" w:hint="eastAsia"/>
                <w:b/>
              </w:rPr>
              <w:t>指定管理者が行う業務及び管理の基準について</w:t>
            </w:r>
          </w:p>
        </w:tc>
        <w:tc>
          <w:tcPr>
            <w:tcW w:w="5741" w:type="dxa"/>
            <w:tcBorders>
              <w:bottom w:val="single" w:sz="4" w:space="0" w:color="auto"/>
            </w:tcBorders>
          </w:tcPr>
          <w:p w:rsidR="00510D9D" w:rsidRPr="00510D9D" w:rsidRDefault="00221B29" w:rsidP="00510D9D">
            <w:pPr>
              <w:rPr>
                <w:szCs w:val="21"/>
              </w:rPr>
            </w:pPr>
            <w:r>
              <w:rPr>
                <w:rFonts w:hint="eastAsia"/>
                <w:szCs w:val="21"/>
              </w:rPr>
              <w:t>業務及び管理の基準に、内子町特産品等の展示、販売及び情報発信に関することとあるが、これらはテナントではなく指定管理者が行ういう理解でよろしいか。</w:t>
            </w:r>
          </w:p>
        </w:tc>
        <w:tc>
          <w:tcPr>
            <w:tcW w:w="5741" w:type="dxa"/>
            <w:tcBorders>
              <w:bottom w:val="single" w:sz="4" w:space="0" w:color="auto"/>
            </w:tcBorders>
          </w:tcPr>
          <w:p w:rsidR="00510D9D" w:rsidRPr="000F63DA" w:rsidRDefault="001F668E" w:rsidP="00A12797">
            <w:pPr>
              <w:rPr>
                <w:rFonts w:ascii="HG丸ｺﾞｼｯｸM-PRO" w:eastAsia="HG丸ｺﾞｼｯｸM-PRO" w:hAnsi="HG丸ｺﾞｼｯｸM-PRO"/>
                <w:color w:val="2F5496" w:themeColor="accent5" w:themeShade="BF"/>
                <w:kern w:val="0"/>
                <w:szCs w:val="21"/>
              </w:rPr>
            </w:pPr>
            <w:r w:rsidRPr="00EE5BDA">
              <w:rPr>
                <w:rFonts w:ascii="HG丸ｺﾞｼｯｸM-PRO" w:eastAsia="HG丸ｺﾞｼｯｸM-PRO" w:hAnsi="HG丸ｺﾞｼｯｸM-PRO" w:hint="eastAsia"/>
                <w:color w:val="2E74B5" w:themeColor="accent1" w:themeShade="BF"/>
                <w:kern w:val="0"/>
                <w:szCs w:val="21"/>
              </w:rPr>
              <w:t>「内子町歴史観光交流拠点施設条例」では、施設で実施する事業を明記しています。</w:t>
            </w:r>
            <w:r w:rsidR="005B7F35" w:rsidRPr="00EE5BDA">
              <w:rPr>
                <w:rFonts w:ascii="HG丸ｺﾞｼｯｸM-PRO" w:eastAsia="HG丸ｺﾞｼｯｸM-PRO" w:hAnsi="HG丸ｺﾞｼｯｸM-PRO" w:hint="eastAsia"/>
                <w:color w:val="2E74B5" w:themeColor="accent1" w:themeShade="BF"/>
                <w:kern w:val="0"/>
                <w:szCs w:val="21"/>
              </w:rPr>
              <w:t>特産品等の展示・販売については主にテナントが実施することになると思いますが、情報発信や販売促進に係る事業等の推進については、指定管理者とテナントが協力して実施するなど、施設の効果的な活用方法をご提案いただけたらと思います。</w:t>
            </w:r>
          </w:p>
        </w:tc>
      </w:tr>
      <w:tr w:rsidR="002E6926" w:rsidTr="002E6926">
        <w:tc>
          <w:tcPr>
            <w:tcW w:w="704" w:type="dxa"/>
            <w:tcBorders>
              <w:bottom w:val="single" w:sz="4" w:space="0" w:color="auto"/>
            </w:tcBorders>
          </w:tcPr>
          <w:p w:rsidR="002E6926" w:rsidRDefault="002E6926" w:rsidP="000A7555">
            <w:pPr>
              <w:spacing w:beforeLines="50" w:before="180" w:afterLines="50" w:after="180" w:line="160" w:lineRule="atLeast"/>
              <w:jc w:val="center"/>
            </w:pPr>
            <w:r>
              <w:rPr>
                <w:rFonts w:hint="eastAsia"/>
              </w:rPr>
              <w:lastRenderedPageBreak/>
              <w:t>７</w:t>
            </w:r>
          </w:p>
        </w:tc>
        <w:tc>
          <w:tcPr>
            <w:tcW w:w="2977" w:type="dxa"/>
            <w:tcBorders>
              <w:bottom w:val="single" w:sz="4" w:space="0" w:color="auto"/>
            </w:tcBorders>
          </w:tcPr>
          <w:p w:rsidR="002E6926" w:rsidRDefault="002E6926" w:rsidP="008E37C2">
            <w:pPr>
              <w:snapToGrid w:val="0"/>
              <w:spacing w:beforeLines="50" w:before="180" w:afterLines="50" w:after="180" w:line="160" w:lineRule="atLeast"/>
              <w:contextualSpacing/>
              <w:rPr>
                <w:rFonts w:asciiTheme="majorHAnsi" w:eastAsiaTheme="majorHAnsi" w:hAnsiTheme="majorHAnsi"/>
                <w:b/>
              </w:rPr>
            </w:pPr>
            <w:r>
              <w:rPr>
                <w:rFonts w:asciiTheme="majorHAnsi" w:eastAsiaTheme="majorHAnsi" w:hAnsiTheme="majorHAnsi" w:hint="eastAsia"/>
                <w:b/>
              </w:rPr>
              <w:t>実施要項５</w:t>
            </w:r>
          </w:p>
          <w:p w:rsidR="002E6926" w:rsidRDefault="002E6926" w:rsidP="008E37C2">
            <w:pPr>
              <w:snapToGrid w:val="0"/>
              <w:spacing w:beforeLines="50" w:before="180" w:afterLines="50" w:after="180" w:line="160" w:lineRule="atLeast"/>
              <w:contextualSpacing/>
              <w:rPr>
                <w:rFonts w:asciiTheme="majorHAnsi" w:eastAsiaTheme="majorHAnsi" w:hAnsiTheme="majorHAnsi"/>
                <w:b/>
              </w:rPr>
            </w:pPr>
            <w:r>
              <w:rPr>
                <w:rFonts w:asciiTheme="majorHAnsi" w:eastAsiaTheme="majorHAnsi" w:hAnsiTheme="majorHAnsi" w:hint="eastAsia"/>
                <w:b/>
              </w:rPr>
              <w:t>管理に要する経費について</w:t>
            </w:r>
          </w:p>
        </w:tc>
        <w:tc>
          <w:tcPr>
            <w:tcW w:w="5741" w:type="dxa"/>
            <w:tcBorders>
              <w:bottom w:val="single" w:sz="4" w:space="0" w:color="auto"/>
            </w:tcBorders>
          </w:tcPr>
          <w:p w:rsidR="002E6926" w:rsidRDefault="002E6926" w:rsidP="00510D9D">
            <w:pPr>
              <w:rPr>
                <w:szCs w:val="21"/>
              </w:rPr>
            </w:pPr>
            <w:r>
              <w:rPr>
                <w:rFonts w:hint="eastAsia"/>
                <w:szCs w:val="21"/>
              </w:rPr>
              <w:t>要項５（２）に「利用者等が支払う利用料金を収入とすることができる」とあるが、これはテナントやチャレンジショップの賃借料を指定管理者の収入にできるという理解でよろしいか。</w:t>
            </w:r>
          </w:p>
        </w:tc>
        <w:tc>
          <w:tcPr>
            <w:tcW w:w="5741" w:type="dxa"/>
            <w:tcBorders>
              <w:bottom w:val="single" w:sz="4" w:space="0" w:color="auto"/>
            </w:tcBorders>
          </w:tcPr>
          <w:p w:rsidR="002E6926" w:rsidRPr="000F63DA" w:rsidRDefault="005B7F35" w:rsidP="00A12797">
            <w:pPr>
              <w:rPr>
                <w:rFonts w:ascii="HG丸ｺﾞｼｯｸM-PRO" w:eastAsia="HG丸ｺﾞｼｯｸM-PRO" w:hAnsi="HG丸ｺﾞｼｯｸM-PRO"/>
                <w:color w:val="2F5496" w:themeColor="accent5" w:themeShade="BF"/>
                <w:kern w:val="0"/>
                <w:szCs w:val="21"/>
              </w:rPr>
            </w:pPr>
            <w:r w:rsidRPr="00EE5BDA">
              <w:rPr>
                <w:rFonts w:ascii="HG丸ｺﾞｼｯｸM-PRO" w:eastAsia="HG丸ｺﾞｼｯｸM-PRO" w:hAnsi="HG丸ｺﾞｼｯｸM-PRO" w:hint="eastAsia"/>
                <w:color w:val="2E74B5" w:themeColor="accent1" w:themeShade="BF"/>
                <w:kern w:val="0"/>
                <w:szCs w:val="21"/>
              </w:rPr>
              <w:t>指定管理者の指定された後（令和８年４月以降予定）は、利用者等が支払う利用料金を</w:t>
            </w:r>
            <w:r w:rsidR="00201A7B" w:rsidRPr="00EE5BDA">
              <w:rPr>
                <w:rFonts w:ascii="HG丸ｺﾞｼｯｸM-PRO" w:eastAsia="HG丸ｺﾞｼｯｸM-PRO" w:hAnsi="HG丸ｺﾞｼｯｸM-PRO" w:hint="eastAsia"/>
                <w:color w:val="2E74B5" w:themeColor="accent1" w:themeShade="BF"/>
                <w:kern w:val="0"/>
                <w:szCs w:val="21"/>
              </w:rPr>
              <w:t>指定管理者の収入として収受させることができます。ただし、指定前は内子町が管理者となるため、施設の使用料は内子町の収入となります。</w:t>
            </w:r>
          </w:p>
        </w:tc>
      </w:tr>
    </w:tbl>
    <w:p w:rsidR="000A7555" w:rsidRDefault="000A7555"/>
    <w:sectPr w:rsidR="000A7555" w:rsidSect="003C063A">
      <w:pgSz w:w="16838" w:h="11906" w:orient="landscape"/>
      <w:pgMar w:top="1134"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40F" w:rsidRDefault="0000740F" w:rsidP="00CD0F5B">
      <w:r>
        <w:separator/>
      </w:r>
    </w:p>
  </w:endnote>
  <w:endnote w:type="continuationSeparator" w:id="0">
    <w:p w:rsidR="0000740F" w:rsidRDefault="0000740F" w:rsidP="00CD0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40F" w:rsidRDefault="0000740F" w:rsidP="00CD0F5B">
      <w:r>
        <w:separator/>
      </w:r>
    </w:p>
  </w:footnote>
  <w:footnote w:type="continuationSeparator" w:id="0">
    <w:p w:rsidR="0000740F" w:rsidRDefault="0000740F" w:rsidP="00CD0F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555"/>
    <w:rsid w:val="0000740F"/>
    <w:rsid w:val="000553A1"/>
    <w:rsid w:val="00055B62"/>
    <w:rsid w:val="000A7555"/>
    <w:rsid w:val="000B43EF"/>
    <w:rsid w:val="000F63DA"/>
    <w:rsid w:val="00150200"/>
    <w:rsid w:val="00180DA7"/>
    <w:rsid w:val="001B3032"/>
    <w:rsid w:val="001F0943"/>
    <w:rsid w:val="001F668E"/>
    <w:rsid w:val="00201A7B"/>
    <w:rsid w:val="00221B29"/>
    <w:rsid w:val="002E6926"/>
    <w:rsid w:val="003374C6"/>
    <w:rsid w:val="00337654"/>
    <w:rsid w:val="003C063A"/>
    <w:rsid w:val="00434748"/>
    <w:rsid w:val="00510D9D"/>
    <w:rsid w:val="00537427"/>
    <w:rsid w:val="005437C6"/>
    <w:rsid w:val="00546F3A"/>
    <w:rsid w:val="005859D3"/>
    <w:rsid w:val="005A3CD0"/>
    <w:rsid w:val="005B3FDA"/>
    <w:rsid w:val="005B7F35"/>
    <w:rsid w:val="005E5C2A"/>
    <w:rsid w:val="005F2FAE"/>
    <w:rsid w:val="006A0793"/>
    <w:rsid w:val="006A76E6"/>
    <w:rsid w:val="006D59DB"/>
    <w:rsid w:val="006E5DE8"/>
    <w:rsid w:val="00710756"/>
    <w:rsid w:val="008375C7"/>
    <w:rsid w:val="00851A84"/>
    <w:rsid w:val="008527D3"/>
    <w:rsid w:val="00875A57"/>
    <w:rsid w:val="00882EDF"/>
    <w:rsid w:val="00887501"/>
    <w:rsid w:val="008E37C2"/>
    <w:rsid w:val="008F42A2"/>
    <w:rsid w:val="0097703E"/>
    <w:rsid w:val="009E49F2"/>
    <w:rsid w:val="009E6DF7"/>
    <w:rsid w:val="00A10429"/>
    <w:rsid w:val="00A12797"/>
    <w:rsid w:val="00A81E25"/>
    <w:rsid w:val="00B16E98"/>
    <w:rsid w:val="00B3746B"/>
    <w:rsid w:val="00B74FD9"/>
    <w:rsid w:val="00BC5EA5"/>
    <w:rsid w:val="00BD40BC"/>
    <w:rsid w:val="00CD0F5B"/>
    <w:rsid w:val="00CF6142"/>
    <w:rsid w:val="00D704B2"/>
    <w:rsid w:val="00DB14FE"/>
    <w:rsid w:val="00DC425A"/>
    <w:rsid w:val="00E7013A"/>
    <w:rsid w:val="00EC45CA"/>
    <w:rsid w:val="00EE2C7C"/>
    <w:rsid w:val="00EE5BDA"/>
    <w:rsid w:val="00EE6B40"/>
    <w:rsid w:val="00F00F35"/>
    <w:rsid w:val="00F42BD6"/>
    <w:rsid w:val="00F44779"/>
    <w:rsid w:val="00F618BA"/>
    <w:rsid w:val="00FB2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72C4503-0DFE-4938-AC95-E804E3849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7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E5C2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E5C2A"/>
    <w:rPr>
      <w:rFonts w:asciiTheme="majorHAnsi" w:eastAsiaTheme="majorEastAsia" w:hAnsiTheme="majorHAnsi" w:cstheme="majorBidi"/>
      <w:sz w:val="18"/>
      <w:szCs w:val="18"/>
    </w:rPr>
  </w:style>
  <w:style w:type="paragraph" w:styleId="a6">
    <w:name w:val="header"/>
    <w:basedOn w:val="a"/>
    <w:link w:val="a7"/>
    <w:uiPriority w:val="99"/>
    <w:unhideWhenUsed/>
    <w:rsid w:val="00CD0F5B"/>
    <w:pPr>
      <w:tabs>
        <w:tab w:val="center" w:pos="4252"/>
        <w:tab w:val="right" w:pos="8504"/>
      </w:tabs>
      <w:snapToGrid w:val="0"/>
    </w:pPr>
  </w:style>
  <w:style w:type="character" w:customStyle="1" w:styleId="a7">
    <w:name w:val="ヘッダー (文字)"/>
    <w:basedOn w:val="a0"/>
    <w:link w:val="a6"/>
    <w:uiPriority w:val="99"/>
    <w:rsid w:val="00CD0F5B"/>
  </w:style>
  <w:style w:type="paragraph" w:styleId="a8">
    <w:name w:val="footer"/>
    <w:basedOn w:val="a"/>
    <w:link w:val="a9"/>
    <w:uiPriority w:val="99"/>
    <w:unhideWhenUsed/>
    <w:rsid w:val="00CD0F5B"/>
    <w:pPr>
      <w:tabs>
        <w:tab w:val="center" w:pos="4252"/>
        <w:tab w:val="right" w:pos="8504"/>
      </w:tabs>
      <w:snapToGrid w:val="0"/>
    </w:pPr>
  </w:style>
  <w:style w:type="character" w:customStyle="1" w:styleId="a9">
    <w:name w:val="フッター (文字)"/>
    <w:basedOn w:val="a0"/>
    <w:link w:val="a8"/>
    <w:uiPriority w:val="99"/>
    <w:rsid w:val="00CD0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399</TotalTime>
  <Pages>3</Pages>
  <Words>262</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兵頭　裕次</dc:creator>
  <cp:keywords/>
  <dc:description/>
  <cp:lastModifiedBy>兵頭　裕次</cp:lastModifiedBy>
  <cp:revision>18</cp:revision>
  <cp:lastPrinted>2025-08-15T04:55:00Z</cp:lastPrinted>
  <dcterms:created xsi:type="dcterms:W3CDTF">2025-07-13T00:33:00Z</dcterms:created>
  <dcterms:modified xsi:type="dcterms:W3CDTF">2025-08-15T05:22:00Z</dcterms:modified>
</cp:coreProperties>
</file>